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warsztatów:</w:t>
      </w: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TEATR / SZTUKA / SPOTKANIE</w:t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Twórcza aktywność z grupą oraz wsparcie wewnętrznych zasobów i dobrostanu lidera</w:t>
      </w:r>
    </w:p>
    <w:p w:rsidR="00000000" w:rsidDel="00000000" w:rsidP="00000000" w:rsidRDefault="00000000" w:rsidRPr="00000000" w14:paraId="00000006">
      <w:pPr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a:</w:t>
      </w: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Iga Załęczna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Terminy 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sesji warsztatowych</w:t>
      </w: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1</w:t>
        <w:tab/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26–27.09.2025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2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24–25.10.2025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3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14–15.11.2025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4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12–13.12.2025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5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16–17.01.2026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6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20–21.02.2026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7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pt.–sob. 27–28.03.2026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8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pt.–sob. 24–25.04.2026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9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pt.–sob. 22–23.05.2026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b w:val="1"/>
          <w:sz w:val="21"/>
          <w:szCs w:val="21"/>
          <w:rtl w:val="0"/>
        </w:rPr>
        <w:t xml:space="preserve">Sesja 10</w:t>
      </w: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 pt.–sob. 26–27.06.2026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Fonts w:ascii="Inter" w:cs="Inter" w:eastAsia="Inter" w:hAnsi="Inter"/>
          <w:sz w:val="21"/>
          <w:szCs w:val="21"/>
          <w:rtl w:val="0"/>
        </w:rPr>
        <w:t xml:space="preserve">Zajęcia w piątki odbywają się w godzinach 17:00–20:00. a w soboty – w godzinach 11.00–14.00.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Inter" w:cs="Inter" w:eastAsia="Inter" w:hAnsi="Inte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urodzenia (tylko rok):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zamieszkania (tylko miejscowość):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komórkowy: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Zawód (wykonywany) oraz kierunek i nazwa uczelni (ukończonych studiów bądź aktualnie podjętych):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Doświadczenie artystyczne/zawodowe (szczególnie w kontekście pracy z grupą, zarówno jako uczestnik/uczestniczka, jak i prowadzący/prowadząca):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Motywacja uczestnictwa w warsztatach: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 obecności i zapoznania się z harmonogramem (ewentualne zgłoszenie dat kolizyjnych terminów):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dotyczące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Pełna klauzula informacyjna znajduje się na stronie </w:t>
      </w:r>
      <w:hyperlink r:id="rId7">
        <w:r w:rsidDel="00000000" w:rsidR="00000000" w:rsidRPr="00000000">
          <w:rPr>
            <w:rFonts w:ascii="Inter" w:cs="Inter" w:eastAsia="Inter" w:hAnsi="Inter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www.grotowski-institute.art.pl/ochrona-danych osobowych</w:t>
        </w:r>
      </w:hyperlink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Poniższą zgodę na przetwarzanie danych osobowych można wycofać w każdej chwili, pisząc na adres: </w:t>
      </w:r>
      <w:hyperlink r:id="rId8">
        <w:r w:rsidDel="00000000" w:rsidR="00000000" w:rsidRPr="00000000">
          <w:rPr>
            <w:rFonts w:ascii="Inter" w:cs="Inter" w:eastAsia="Inter" w:hAnsi="Inter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rodo@grotowski-institute.art.pl</w:t>
        </w:r>
      </w:hyperlink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Cofnięcie zgody nie wpływa na zgodność przetwarzania dokonanego na podstawie zgody do czasu jej wycofania.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hanging="36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przez Instytut im. Jerzego Grotowskiego z siedzibą we Wrocławiu, Rynek-Ratusz 27, 50-101 Wrocław, zawartych w karcie zgłoszeniowej.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hanging="36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będą przetwarzane w formie wydruku papierowego i w formie elektronicznej w celu przeprowadzenia procesu rekrutacji i realizacji wydarzenia oraz w celach sprawozdawczych i archiwizacyjnych.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hanging="36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mogą być powierzone do przetwarzania osobie prowadzącej zajęcia w celu zapoznania się z profilem uczestnika zajęć. Osoba prowadząca zajęcia jest upoważniona do ich przetwarzania wyłącznie w okresie trwania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20" w:right="0" w:firstLine="0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niniejszą zgodę udzielam dobrowolnie i zapoznałem/am się z klauzulą informacyjną dostępną na stronie </w:t>
      </w:r>
      <w:hyperlink r:id="rId9">
        <w:r w:rsidDel="00000000" w:rsidR="00000000" w:rsidRPr="00000000">
          <w:rPr>
            <w:rFonts w:ascii="Inter" w:cs="Inter" w:eastAsia="Inter" w:hAnsi="Inter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www.grotowski-institute.art.pl/ochrona-danych osobowych</w:t>
        </w:r>
      </w:hyperlink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17" w:top="1843" w:left="1276" w:right="1417" w:header="709" w:footer="2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-276223</wp:posOffset>
          </wp:positionV>
          <wp:extent cx="1903530" cy="697548"/>
          <wp:effectExtent b="0" l="0" r="0" t="0"/>
          <wp:wrapNone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3530" cy="6975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omyślnaczcionkaakapitu1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omyślnaczcionkaakapitu1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color w:val="00000a"/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1">
    <w:name w:val="Odwołanie do komentarza1"/>
    <w:next w:val="Odwołaniedokomentarza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suppressAutoHyphens w:val="1"/>
      <w:spacing w:after="0" w:before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1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suppressAutoHyphens w:val="0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matkomentarza">
    <w:name w:val="Temat komentarza"/>
    <w:basedOn w:val="Tekstkomentarza1"/>
    <w:next w:val="Tekstkomentarza1"/>
    <w:autoRedefine w:val="0"/>
    <w:hidden w:val="0"/>
    <w:qFormat w:val="0"/>
    <w:pPr>
      <w:suppressAutoHyphens w:val="0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towski-institute.art.pl/ochrona-danych%20osobowyc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rotowski-institute.art.pl/ochrona-danych%20osobowych" TargetMode="External"/><Relationship Id="rId8" Type="http://schemas.openxmlformats.org/officeDocument/2006/relationships/hyperlink" Target="mailto:rodo@grotowski-institute.art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JsY6WSkzQ0OlGvfWpiN3yIuhQ==">CgMxLjA4AHIhMXdPTW55WjdVc01MSTN2OTQ0ZUlKQVhnRl9EM1N1WThV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2020-04-06T18:37:00Z</dcterms:created>
  <dc:creator>Wanda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