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="360" w:lineRule="auto"/>
        <w:jc w:val="center"/>
        <w:rPr>
          <w:rFonts w:ascii="Inter" w:cs="Inter" w:eastAsia="Inter" w:hAnsi="Inter"/>
        </w:rPr>
      </w:pPr>
      <w:r w:rsidDel="00000000" w:rsidR="00000000" w:rsidRPr="00000000">
        <w:rPr>
          <w:rFonts w:ascii="Inter" w:cs="Inter" w:eastAsia="Inter" w:hAnsi="Inter"/>
          <w:b w:val="1"/>
          <w:bCs w:val="1"/>
          <w:rtl w:val="0"/>
        </w:rPr>
        <w:t xml:space="preserve">Regulamin Turnieju Poetyckiego „O Różę Różewicza”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line="360" w:lineRule="auto"/>
        <w:jc w:val="both"/>
        <w:rPr>
          <w:rFonts w:ascii="Inter" w:cs="Inter" w:eastAsia="Inter" w:hAnsi="Inter"/>
        </w:rPr>
      </w:pPr>
      <w:r w:rsidDel="00000000" w:rsidR="00000000" w:rsidRPr="00000000">
        <w:rPr>
          <w:rFonts w:ascii="Inter" w:cs="Inter" w:eastAsia="Inter" w:hAnsi="Inter"/>
          <w:b w:val="1"/>
          <w:bCs w:val="1"/>
          <w:rtl w:val="0"/>
        </w:rPr>
        <w:t xml:space="preserve">§1 Postanowienia ogólne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numPr>
          <w:ilvl w:val="0"/>
          <w:numId w:val="5"/>
        </w:numPr>
        <w:spacing w:after="27" w:line="360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Inter" w:cs="Inter" w:eastAsia="Inter" w:hAnsi="Inter"/>
          <w:rtl w:val="0"/>
        </w:rPr>
        <w:t xml:space="preserve">Turniej Poetycki „O Różę Różewicza” (zwany dalej </w:t>
      </w:r>
      <w:r w:rsidDel="00000000" w:rsidR="00000000" w:rsidRPr="00000000">
        <w:rPr>
          <w:rFonts w:ascii="Inter" w:cs="Inter" w:eastAsia="Inter" w:hAnsi="Inter"/>
          <w:b w:val="1"/>
          <w:bCs w:val="1"/>
          <w:rtl w:val="0"/>
        </w:rPr>
        <w:t xml:space="preserve">Turniejem</w:t>
      </w:r>
      <w:r w:rsidDel="00000000" w:rsidR="00000000" w:rsidRPr="00000000">
        <w:rPr>
          <w:rFonts w:ascii="Inter" w:cs="Inter" w:eastAsia="Inter" w:hAnsi="Inter"/>
          <w:rtl w:val="0"/>
        </w:rPr>
        <w:t xml:space="preserve">) jest organizowany </w:t>
        <w:br w:type="textWrapping"/>
        <w:t xml:space="preserve">w roku 105-lecia urodzin i 12. rocznicy śmierci </w:t>
      </w:r>
      <w:r w:rsidDel="00000000" w:rsidR="00000000" w:rsidRPr="00000000">
        <w:rPr>
          <w:rFonts w:ascii="Inter" w:cs="Inter" w:eastAsia="Inter" w:hAnsi="Inter"/>
          <w:b w:val="1"/>
          <w:bCs w:val="1"/>
          <w:rtl w:val="0"/>
        </w:rPr>
        <w:t xml:space="preserve">Tadeusza Różewicza</w:t>
      </w:r>
      <w:r w:rsidDel="00000000" w:rsidR="00000000" w:rsidRPr="00000000">
        <w:rPr>
          <w:rFonts w:ascii="Inter" w:cs="Inter" w:eastAsia="Inter" w:hAnsi="Inter"/>
          <w:rtl w:val="0"/>
        </w:rPr>
        <w:t xml:space="preserve"> – poety, dramatopisarza i prozaika, wybitnego przedstawiciela polskiej liryki powojennej, współtwórcy współczesnej poezji europejskiej oraz Honorowego Obywatela Wrocławia.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numPr>
          <w:ilvl w:val="0"/>
          <w:numId w:val="5"/>
        </w:numPr>
        <w:spacing w:after="27" w:line="360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Inter" w:cs="Inter" w:eastAsia="Inter" w:hAnsi="Inter"/>
          <w:rtl w:val="0"/>
        </w:rPr>
        <w:t xml:space="preserve">Organizatorem Turnieju jest</w:t>
      </w:r>
      <w:r w:rsidDel="00000000" w:rsidR="00000000" w:rsidRPr="00000000">
        <w:rPr>
          <w:rFonts w:ascii="Inter" w:cs="Inter" w:eastAsia="Inter" w:hAnsi="Inter"/>
          <w:rtl w:val="0"/>
        </w:rPr>
        <w:t xml:space="preserve"> </w:t>
      </w:r>
      <w:r w:rsidDel="00000000" w:rsidR="00000000" w:rsidRPr="00000000">
        <w:rPr>
          <w:rFonts w:ascii="Inter" w:cs="Inter" w:eastAsia="Inter" w:hAnsi="Inter"/>
          <w:b w:val="1"/>
          <w:bCs w:val="1"/>
          <w:rtl w:val="0"/>
        </w:rPr>
        <w:t xml:space="preserve">Instytut im. Jerzego Grotowskiego we Wrocławiu</w:t>
      </w:r>
      <w:r w:rsidDel="00000000" w:rsidR="00000000" w:rsidRPr="00000000">
        <w:rPr>
          <w:rFonts w:ascii="Inter" w:cs="Inter" w:eastAsia="Inter" w:hAnsi="Inter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numPr>
          <w:ilvl w:val="0"/>
          <w:numId w:val="5"/>
        </w:numPr>
        <w:spacing w:after="27" w:line="360" w:lineRule="auto"/>
        <w:ind w:left="720" w:hanging="360"/>
        <w:jc w:val="both"/>
        <w:rPr>
          <w:rFonts w:ascii="Inter" w:cs="Inter" w:eastAsia="Inter" w:hAnsi="Inter"/>
        </w:rPr>
      </w:pPr>
      <w:r w:rsidDel="00000000" w:rsidR="00000000" w:rsidRPr="00000000">
        <w:rPr>
          <w:rFonts w:ascii="Inter" w:cs="Inter" w:eastAsia="Inter" w:hAnsi="Inter"/>
          <w:rtl w:val="0"/>
        </w:rPr>
        <w:t xml:space="preserve">Turniej jest dofinansowany ze środków Gminy Wrocław. </w:t>
      </w:r>
    </w:p>
    <w:p w:rsidR="00000000" w:rsidDel="00000000" w:rsidP="00000000" w:rsidRDefault="00000000" w:rsidRPr="00000000" w14:paraId="00000006">
      <w:pPr>
        <w:spacing w:after="0" w:line="360" w:lineRule="auto"/>
        <w:jc w:val="both"/>
        <w:rPr>
          <w:rFonts w:ascii="Inter" w:cs="Inter" w:eastAsia="Inter" w:hAnsi="Inter"/>
        </w:rPr>
      </w:pPr>
      <w:r w:rsidDel="00000000" w:rsidR="00000000" w:rsidRPr="00000000">
        <w:rPr>
          <w:rFonts w:ascii="Inter" w:cs="Inter" w:eastAsia="Inter" w:hAnsi="Inter"/>
          <w:b w:val="1"/>
          <w:bCs w:val="1"/>
          <w:rtl w:val="0"/>
        </w:rPr>
        <w:t xml:space="preserve">§2 Warunki Turnieju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numPr>
          <w:ilvl w:val="0"/>
          <w:numId w:val="2"/>
        </w:numPr>
        <w:spacing w:after="27" w:line="360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Inter" w:cs="Inter" w:eastAsia="Inter" w:hAnsi="Inter"/>
          <w:rtl w:val="0"/>
        </w:rPr>
        <w:t xml:space="preserve">Turniej ma charakter otwarty i jest adresowany do osób pełnoletnich (zwanych dalej </w:t>
      </w:r>
      <w:r w:rsidDel="00000000" w:rsidR="00000000" w:rsidRPr="00000000">
        <w:rPr>
          <w:rFonts w:ascii="Inter" w:cs="Inter" w:eastAsia="Inter" w:hAnsi="Inter"/>
          <w:b w:val="1"/>
          <w:bCs w:val="1"/>
          <w:rtl w:val="0"/>
        </w:rPr>
        <w:t xml:space="preserve">Uczestnikami</w:t>
      </w:r>
      <w:r w:rsidDel="00000000" w:rsidR="00000000" w:rsidRPr="00000000">
        <w:rPr>
          <w:rFonts w:ascii="Inter" w:cs="Inter" w:eastAsia="Inter" w:hAnsi="Inter"/>
          <w:rtl w:val="0"/>
        </w:rPr>
        <w:t xml:space="preserve">), zrzeszonych lub niezrzeszonych w stowarzyszeniach czy związkach twórczych.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numPr>
          <w:ilvl w:val="0"/>
          <w:numId w:val="2"/>
        </w:numPr>
        <w:spacing w:after="27" w:line="360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Inter" w:cs="Inter" w:eastAsia="Inter" w:hAnsi="Inter"/>
          <w:rtl w:val="0"/>
        </w:rPr>
        <w:t xml:space="preserve">Uczestnicy powinni nadesłać pocztą </w:t>
      </w:r>
      <w:r w:rsidDel="00000000" w:rsidR="00000000" w:rsidRPr="00000000">
        <w:rPr>
          <w:rFonts w:ascii="Inter" w:cs="Inter" w:eastAsia="Inter" w:hAnsi="Inter"/>
          <w:b w:val="1"/>
          <w:bCs w:val="1"/>
          <w:rtl w:val="0"/>
        </w:rPr>
        <w:t xml:space="preserve">maksymalnie dwa utwory</w:t>
      </w:r>
      <w:r w:rsidDel="00000000" w:rsidR="00000000" w:rsidRPr="00000000">
        <w:rPr>
          <w:rFonts w:ascii="Inter" w:cs="Inter" w:eastAsia="Inter" w:hAnsi="Inter"/>
          <w:rtl w:val="0"/>
        </w:rPr>
        <w:t xml:space="preserve"> napisane w języku polskim, o dowolnej stylistyce i długości.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numPr>
          <w:ilvl w:val="0"/>
          <w:numId w:val="2"/>
        </w:numPr>
        <w:spacing w:after="27" w:line="360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Inter" w:cs="Inter" w:eastAsia="Inter" w:hAnsi="Inter"/>
          <w:rtl w:val="0"/>
        </w:rPr>
        <w:t xml:space="preserve">Jeżeli uczestnik wykorzystuje w swoich utworach znaki nietypowe, takie jak emotikony, piktogramy czy hasztagi (#), powinien zamieścić stosowną informację na ten temat w zgłoszeniu (patrz: </w:t>
      </w:r>
      <w:r w:rsidDel="00000000" w:rsidR="00000000" w:rsidRPr="00000000">
        <w:rPr>
          <w:rFonts w:ascii="Inter" w:cs="Inter" w:eastAsia="Inter" w:hAnsi="Inter"/>
          <w:b w:val="1"/>
          <w:bCs w:val="1"/>
          <w:rtl w:val="0"/>
        </w:rPr>
        <w:t xml:space="preserve">§3 pkt 2</w:t>
      </w:r>
      <w:r w:rsidDel="00000000" w:rsidR="00000000" w:rsidRPr="00000000">
        <w:rPr>
          <w:rFonts w:ascii="Inter" w:cs="Inter" w:eastAsia="Inter" w:hAnsi="Inter"/>
          <w:rtl w:val="0"/>
        </w:rPr>
        <w:t xml:space="preserve">). Pozwoli to uniknąć ewentualnych nieporozumień dotyczących sposobu przygotowania utworu do druku w pokonkursowej broszurze (wydawnictwie pokonkursowym), o ile Organizator zdecyduje się na taką publikację.</w:t>
      </w:r>
      <w:r w:rsidDel="00000000" w:rsidR="00000000" w:rsidRPr="00000000">
        <w:rPr>
          <w:rFonts w:ascii="Inter" w:cs="Inter" w:eastAsia="Inter" w:hAnsi="Inter"/>
          <w:b w:val="1"/>
          <w:bCs w:val="1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numPr>
          <w:ilvl w:val="0"/>
          <w:numId w:val="2"/>
        </w:numPr>
        <w:spacing w:after="27" w:line="360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Inter" w:cs="Inter" w:eastAsia="Inter" w:hAnsi="Inter"/>
          <w:rtl w:val="0"/>
        </w:rPr>
        <w:t xml:space="preserve">Do Turnieju można zgłaszać tylko utwory oryginalne, </w:t>
      </w:r>
      <w:r w:rsidDel="00000000" w:rsidR="00000000" w:rsidRPr="00000000">
        <w:rPr>
          <w:rFonts w:ascii="Inter" w:cs="Inter" w:eastAsia="Inter" w:hAnsi="Inter"/>
          <w:b w:val="1"/>
          <w:bCs w:val="1"/>
          <w:rtl w:val="0"/>
        </w:rPr>
        <w:t xml:space="preserve">nigdzie dotąd niepublikowane i niezgłaszane do innych konkursów poetyckich w kraju i za granicą</w:t>
      </w:r>
      <w:r w:rsidDel="00000000" w:rsidR="00000000" w:rsidRPr="00000000">
        <w:rPr>
          <w:rFonts w:ascii="Inter" w:cs="Inter" w:eastAsia="Inter" w:hAnsi="Inter"/>
          <w:rtl w:val="0"/>
        </w:rPr>
        <w:t xml:space="preserve">. Zakres tematyczny utworów jest dowolny.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numPr>
          <w:ilvl w:val="0"/>
          <w:numId w:val="2"/>
        </w:numPr>
        <w:spacing w:after="27" w:line="360" w:lineRule="auto"/>
        <w:ind w:left="720" w:hanging="360"/>
        <w:jc w:val="both"/>
        <w:rPr>
          <w:rFonts w:ascii="Inter" w:cs="Inter" w:eastAsia="Inter" w:hAnsi="Inter"/>
        </w:rPr>
      </w:pPr>
      <w:r w:rsidDel="00000000" w:rsidR="00000000" w:rsidRPr="00000000">
        <w:rPr>
          <w:rFonts w:ascii="Inter" w:cs="Inter" w:eastAsia="Inter" w:hAnsi="Inter"/>
          <w:rtl w:val="0"/>
        </w:rPr>
        <w:t xml:space="preserve">Nadesłane utwory mogą zostać opublikowane przez Organizatora w wydawnictwie pokonkursowym (broszurze pokonkursowej) oraz na stronie internetowej Instytutu, na zasadach i w zakresie określonych w §4 i §5 niniejszego regulaminu.</w:t>
      </w:r>
    </w:p>
    <w:p w:rsidR="00000000" w:rsidDel="00000000" w:rsidP="00000000" w:rsidRDefault="00000000" w:rsidRPr="00000000" w14:paraId="0000000C">
      <w:pPr>
        <w:spacing w:after="0" w:line="360" w:lineRule="auto"/>
        <w:jc w:val="both"/>
        <w:rPr>
          <w:rFonts w:ascii="Inter" w:cs="Inter" w:eastAsia="Inter" w:hAnsi="Inter"/>
        </w:rPr>
      </w:pPr>
      <w:r w:rsidDel="00000000" w:rsidR="00000000" w:rsidRPr="00000000">
        <w:rPr>
          <w:rFonts w:ascii="Inter" w:cs="Inter" w:eastAsia="Inter" w:hAnsi="Inter"/>
          <w:b w:val="1"/>
          <w:bCs w:val="1"/>
          <w:rtl w:val="0"/>
        </w:rPr>
        <w:t xml:space="preserve">§3 Zgłoszenia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numPr>
          <w:ilvl w:val="0"/>
          <w:numId w:val="7"/>
        </w:numPr>
        <w:spacing w:after="27" w:line="360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Inter" w:cs="Inter" w:eastAsia="Inter" w:hAnsi="Inter"/>
          <w:rtl w:val="0"/>
        </w:rPr>
        <w:t xml:space="preserve">Zgłaszane do Turnieju utwory (maksymalnie dwa) należy umieścić w zamkniętej kopercie, wyłącznie w formie wydruku na kartce formatu A4. Utwory powinny być oznaczone </w:t>
      </w:r>
      <w:r w:rsidDel="00000000" w:rsidR="00000000" w:rsidRPr="00000000">
        <w:rPr>
          <w:rFonts w:ascii="Inter" w:cs="Inter" w:eastAsia="Inter" w:hAnsi="Inter"/>
          <w:b w:val="1"/>
          <w:bCs w:val="1"/>
          <w:rtl w:val="0"/>
        </w:rPr>
        <w:t xml:space="preserve">tylko godłem </w:t>
      </w:r>
      <w:r w:rsidDel="00000000" w:rsidR="00000000" w:rsidRPr="00000000">
        <w:rPr>
          <w:rFonts w:ascii="Inter" w:cs="Inter" w:eastAsia="Inter" w:hAnsi="Inter"/>
          <w:rtl w:val="0"/>
        </w:rPr>
        <w:t xml:space="preserve">(tzn. oryginalnym znakiem graficznym lub pseudonimem).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numPr>
          <w:ilvl w:val="0"/>
          <w:numId w:val="7"/>
        </w:numPr>
        <w:spacing w:after="27" w:line="36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Inter" w:cs="Inter" w:eastAsia="Inter" w:hAnsi="Inter"/>
          <w:rtl w:val="0"/>
        </w:rPr>
        <w:t xml:space="preserve">Jednocześnie, każdy uczestnik powinien przesłać drugą zamkniętą kopertę, </w:t>
      </w:r>
      <w:r w:rsidDel="00000000" w:rsidR="00000000" w:rsidRPr="00000000">
        <w:rPr>
          <w:rFonts w:ascii="Inter" w:cs="Inter" w:eastAsia="Inter" w:hAnsi="Inter"/>
          <w:b w:val="1"/>
          <w:bCs w:val="1"/>
          <w:rtl w:val="0"/>
        </w:rPr>
        <w:t xml:space="preserve">opatrzoną tym samym godłem, z napisem: „Zgłoszenie”</w:t>
      </w:r>
      <w:r w:rsidDel="00000000" w:rsidR="00000000" w:rsidRPr="00000000">
        <w:rPr>
          <w:rFonts w:ascii="Inter" w:cs="Inter" w:eastAsia="Inter" w:hAnsi="Inter"/>
          <w:rtl w:val="0"/>
        </w:rPr>
        <w:t xml:space="preserve">. Ta koperta powinna zawierać: </w:t>
      </w:r>
      <w:r w:rsidDel="00000000" w:rsidR="00000000" w:rsidRPr="00000000">
        <w:rPr>
          <w:rFonts w:ascii="Inter" w:cs="Inter" w:eastAsia="Inter" w:hAnsi="Inter"/>
          <w:b w:val="1"/>
          <w:bCs w:val="1"/>
          <w:rtl w:val="0"/>
        </w:rPr>
        <w:t xml:space="preserve">imię, nazwisko i dane kontaktowe (e-mail oraz numer telefonu)</w:t>
      </w:r>
      <w:r w:rsidDel="00000000" w:rsidR="00000000" w:rsidRPr="00000000">
        <w:rPr>
          <w:rFonts w:ascii="Inter" w:cs="Inter" w:eastAsia="Inter" w:hAnsi="Inter"/>
          <w:rtl w:val="0"/>
        </w:rPr>
        <w:t xml:space="preserve"> Uczestnika, a także: własnoręcznie podpisany </w:t>
      </w:r>
      <w:r w:rsidDel="00000000" w:rsidR="00000000" w:rsidRPr="00000000">
        <w:rPr>
          <w:rFonts w:ascii="Inter" w:cs="Inter" w:eastAsia="Inter" w:hAnsi="Inter"/>
          <w:b w:val="1"/>
          <w:bCs w:val="1"/>
          <w:u w:val="single"/>
          <w:rtl w:val="0"/>
        </w:rPr>
        <w:t xml:space="preserve">Formularz zgłoszeniowy</w:t>
      </w:r>
      <w:r w:rsidDel="00000000" w:rsidR="00000000" w:rsidRPr="00000000">
        <w:rPr>
          <w:rFonts w:ascii="Inter" w:cs="Inter" w:eastAsia="Inter" w:hAnsi="Inter"/>
          <w:rtl w:val="0"/>
        </w:rPr>
        <w:t xml:space="preserve"> i </w:t>
      </w:r>
      <w:r w:rsidDel="00000000" w:rsidR="00000000" w:rsidRPr="00000000">
        <w:rPr>
          <w:rFonts w:ascii="Inter" w:cs="Inter" w:eastAsia="Inter" w:hAnsi="Inter"/>
          <w:b w:val="1"/>
          <w:bCs w:val="1"/>
          <w:u w:val="single"/>
          <w:rtl w:val="0"/>
        </w:rPr>
        <w:t xml:space="preserve">formularz zgody na udzielenie Organizatorowi Turnieju licencji niewyłącznej do przesłanych utworów</w:t>
      </w:r>
      <w:r w:rsidDel="00000000" w:rsidR="00000000" w:rsidRPr="00000000">
        <w:rPr>
          <w:rFonts w:ascii="Inter" w:cs="Inter" w:eastAsia="Inter" w:hAnsi="Inter"/>
          <w:rtl w:val="0"/>
        </w:rPr>
        <w:t xml:space="preserve">. </w:t>
      </w:r>
    </w:p>
    <w:p w:rsidR="00000000" w:rsidDel="00000000" w:rsidP="00000000" w:rsidRDefault="00000000" w:rsidRPr="00000000" w14:paraId="0000000F">
      <w:pPr>
        <w:spacing w:after="27" w:line="360" w:lineRule="auto"/>
        <w:ind w:left="720" w:firstLine="0"/>
        <w:rPr>
          <w:rFonts w:ascii="Inter" w:cs="Inter" w:eastAsia="Inter" w:hAnsi="Inter"/>
          <w:b w:val="1"/>
          <w:bCs w:val="1"/>
        </w:rPr>
      </w:pPr>
      <w:r w:rsidDel="00000000" w:rsidR="00000000" w:rsidRPr="00000000">
        <w:rPr>
          <w:rFonts w:ascii="Inter" w:cs="Inter" w:eastAsia="Inter" w:hAnsi="Inter"/>
          <w:rtl w:val="0"/>
        </w:rPr>
        <w:t xml:space="preserve">Wzory oświadczeń do pobrania: </w:t>
      </w:r>
      <w:hyperlink r:id="rId7">
        <w:r w:rsidDel="00000000" w:rsidR="00000000" w:rsidRPr="00000000">
          <w:rPr>
            <w:rFonts w:ascii="Inter" w:cs="Inter" w:eastAsia="Inter" w:hAnsi="Inter"/>
            <w:b w:val="1"/>
            <w:bCs w:val="1"/>
            <w:color w:val="1155cc"/>
            <w:u w:val="single"/>
            <w:rtl w:val="0"/>
          </w:rPr>
          <w:t xml:space="preserve">Formularz zgłoszeniowy</w:t>
        </w:r>
      </w:hyperlink>
      <w:r w:rsidDel="00000000" w:rsidR="00000000" w:rsidRPr="00000000">
        <w:rPr>
          <w:rFonts w:ascii="Inter" w:cs="Inter" w:eastAsia="Inter" w:hAnsi="Inter"/>
          <w:rtl w:val="0"/>
        </w:rPr>
        <w:t xml:space="preserve">, </w:t>
      </w:r>
      <w:hyperlink r:id="rId8">
        <w:r w:rsidDel="00000000" w:rsidR="00000000" w:rsidRPr="00000000">
          <w:rPr>
            <w:rFonts w:ascii="Inter" w:cs="Inter" w:eastAsia="Inter" w:hAnsi="Inter"/>
            <w:b w:val="1"/>
            <w:bCs w:val="1"/>
            <w:color w:val="1155cc"/>
            <w:u w:val="single"/>
            <w:rtl w:val="0"/>
          </w:rPr>
          <w:t xml:space="preserve">formularz zgody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numPr>
          <w:ilvl w:val="0"/>
          <w:numId w:val="7"/>
        </w:numPr>
        <w:spacing w:after="27" w:line="360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Inter" w:cs="Inter" w:eastAsia="Inter" w:hAnsi="Inter"/>
          <w:rtl w:val="0"/>
        </w:rPr>
        <w:t xml:space="preserve">Obie ww. koperty </w:t>
      </w:r>
      <w:r w:rsidDel="00000000" w:rsidR="00000000" w:rsidRPr="00000000">
        <w:rPr>
          <w:rFonts w:ascii="Inter" w:cs="Inter" w:eastAsia="Inter" w:hAnsi="Inter"/>
          <w:b w:val="1"/>
          <w:bCs w:val="1"/>
          <w:rtl w:val="0"/>
        </w:rPr>
        <w:t xml:space="preserve">należy</w:t>
      </w:r>
      <w:r w:rsidDel="00000000" w:rsidR="00000000" w:rsidRPr="00000000">
        <w:rPr>
          <w:rFonts w:ascii="Inter" w:cs="Inter" w:eastAsia="Inter" w:hAnsi="Inter"/>
          <w:rtl w:val="0"/>
        </w:rPr>
        <w:t xml:space="preserve"> przesłać jedną przesyłką pocztową na adres: </w:t>
      </w:r>
      <w:r w:rsidDel="00000000" w:rsidR="00000000" w:rsidRPr="00000000">
        <w:rPr>
          <w:rFonts w:ascii="Inter" w:cs="Inter" w:eastAsia="Inter" w:hAnsi="Inter"/>
          <w:b w:val="1"/>
          <w:bCs w:val="1"/>
          <w:rtl w:val="0"/>
        </w:rPr>
        <w:t xml:space="preserve">Instytut im. Jerzego Grotowskiego, Rynek-Ratusz 27, 50-101 Wrocław, z dopiskiem: Turniej Poetycki „O Różę Różewicza”</w:t>
      </w:r>
      <w:r w:rsidDel="00000000" w:rsidR="00000000" w:rsidRPr="00000000">
        <w:rPr>
          <w:rFonts w:ascii="Inter" w:cs="Inter" w:eastAsia="Inter" w:hAnsi="Inter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numPr>
          <w:ilvl w:val="0"/>
          <w:numId w:val="7"/>
        </w:numPr>
        <w:spacing w:after="27" w:line="360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Inter" w:cs="Inter" w:eastAsia="Inter" w:hAnsi="Inter"/>
          <w:rtl w:val="0"/>
        </w:rPr>
        <w:t xml:space="preserve">Zgłoszenia, które nie spełnią powyższych wymogów, </w:t>
      </w:r>
      <w:r w:rsidDel="00000000" w:rsidR="00000000" w:rsidRPr="00000000">
        <w:rPr>
          <w:rFonts w:ascii="Inter" w:cs="Inter" w:eastAsia="Inter" w:hAnsi="Inter"/>
          <w:b w:val="1"/>
          <w:bCs w:val="1"/>
          <w:rtl w:val="0"/>
        </w:rPr>
        <w:t xml:space="preserve">nie zostaną dopuszczone do Turnieju</w:t>
      </w:r>
      <w:r w:rsidDel="00000000" w:rsidR="00000000" w:rsidRPr="00000000">
        <w:rPr>
          <w:rFonts w:ascii="Inter" w:cs="Inter" w:eastAsia="Inter" w:hAnsi="Inter"/>
          <w:rtl w:val="0"/>
        </w:rPr>
        <w:t xml:space="preserve">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numPr>
          <w:ilvl w:val="0"/>
          <w:numId w:val="7"/>
        </w:numPr>
        <w:spacing w:after="27" w:line="360" w:lineRule="auto"/>
        <w:ind w:left="720" w:hanging="360"/>
        <w:jc w:val="both"/>
        <w:rPr>
          <w:rFonts w:ascii="Inter" w:cs="Inter" w:eastAsia="Inter" w:hAnsi="Inter"/>
        </w:rPr>
      </w:pPr>
      <w:r w:rsidDel="00000000" w:rsidR="00000000" w:rsidRPr="00000000">
        <w:rPr>
          <w:rFonts w:ascii="Inter" w:cs="Inter" w:eastAsia="Inter" w:hAnsi="Inter"/>
          <w:rtl w:val="0"/>
        </w:rPr>
        <w:t xml:space="preserve">Organizator nie zwraca nadesłanych utworów.</w:t>
      </w:r>
    </w:p>
    <w:p w:rsidR="00000000" w:rsidDel="00000000" w:rsidP="00000000" w:rsidRDefault="00000000" w:rsidRPr="00000000" w14:paraId="00000013">
      <w:pPr>
        <w:numPr>
          <w:ilvl w:val="0"/>
          <w:numId w:val="7"/>
        </w:numPr>
        <w:spacing w:after="27" w:line="360" w:lineRule="auto"/>
        <w:ind w:left="720" w:hanging="360"/>
        <w:jc w:val="both"/>
        <w:rPr>
          <w:rFonts w:ascii="Inter" w:cs="Inter" w:eastAsia="Inter" w:hAnsi="Inter"/>
        </w:rPr>
      </w:pPr>
      <w:r w:rsidDel="00000000" w:rsidR="00000000" w:rsidRPr="00000000">
        <w:rPr>
          <w:rFonts w:ascii="Inter" w:cs="Inter" w:eastAsia="Inter" w:hAnsi="Inter"/>
          <w:rtl w:val="0"/>
        </w:rPr>
        <w:t xml:space="preserve">Nadesłane na Turniej utwory będą przechowywane w Archiwum Instytutu im. Jerzego Grotowskiego we Wrocławiu.</w:t>
      </w:r>
    </w:p>
    <w:p w:rsidR="00000000" w:rsidDel="00000000" w:rsidP="00000000" w:rsidRDefault="00000000" w:rsidRPr="00000000" w14:paraId="00000014">
      <w:pPr>
        <w:numPr>
          <w:ilvl w:val="0"/>
          <w:numId w:val="7"/>
        </w:numPr>
        <w:spacing w:after="27" w:line="360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Inter" w:cs="Inter" w:eastAsia="Inter" w:hAnsi="Inter"/>
          <w:b w:val="1"/>
          <w:bCs w:val="1"/>
          <w:rtl w:val="0"/>
        </w:rPr>
        <w:t xml:space="preserve">Termin nadsyłania prac upływa</w:t>
      </w:r>
      <w:r w:rsidDel="00000000" w:rsidR="00000000" w:rsidRPr="00000000">
        <w:rPr>
          <w:rFonts w:ascii="Inter" w:cs="Inter" w:eastAsia="Inter" w:hAnsi="Inter"/>
          <w:rtl w:val="0"/>
        </w:rPr>
        <w:t xml:space="preserve"> </w:t>
      </w:r>
      <w:r w:rsidDel="00000000" w:rsidR="00000000" w:rsidRPr="00000000">
        <w:rPr>
          <w:rFonts w:ascii="Inter" w:cs="Inter" w:eastAsia="Inter" w:hAnsi="Inter"/>
          <w:b w:val="1"/>
          <w:bCs w:val="1"/>
          <w:rtl w:val="0"/>
        </w:rPr>
        <w:t xml:space="preserve">16 października 2026 r. Decyduje data stempla pocztowego.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numPr>
          <w:ilvl w:val="0"/>
          <w:numId w:val="7"/>
        </w:numPr>
        <w:spacing w:after="27" w:line="360" w:lineRule="auto"/>
        <w:ind w:left="720" w:hanging="360"/>
        <w:jc w:val="both"/>
        <w:rPr>
          <w:rFonts w:ascii="Inter" w:cs="Inter" w:eastAsia="Inter" w:hAnsi="Inter"/>
        </w:rPr>
      </w:pPr>
      <w:r w:rsidDel="00000000" w:rsidR="00000000" w:rsidRPr="00000000">
        <w:rPr>
          <w:rFonts w:ascii="Inter" w:cs="Inter" w:eastAsia="Inter" w:hAnsi="Inter"/>
          <w:rtl w:val="0"/>
        </w:rPr>
        <w:t xml:space="preserve">Zgłoszenia przesłane po ww. terminie nie będą brane pod uwagę.  </w:t>
      </w:r>
    </w:p>
    <w:p w:rsidR="00000000" w:rsidDel="00000000" w:rsidP="00000000" w:rsidRDefault="00000000" w:rsidRPr="00000000" w14:paraId="00000016">
      <w:pPr>
        <w:spacing w:after="0" w:line="360" w:lineRule="auto"/>
        <w:jc w:val="both"/>
        <w:rPr>
          <w:rFonts w:ascii="Inter" w:cs="Inter" w:eastAsia="Inter" w:hAnsi="Inter"/>
        </w:rPr>
      </w:pPr>
      <w:r w:rsidDel="00000000" w:rsidR="00000000" w:rsidRPr="00000000">
        <w:rPr>
          <w:rFonts w:ascii="Inter" w:cs="Inter" w:eastAsia="Inter" w:hAnsi="Inter"/>
          <w:b w:val="1"/>
          <w:bCs w:val="1"/>
          <w:rtl w:val="0"/>
        </w:rPr>
        <w:t xml:space="preserve">§4 Zasady pracy Jury i przyznawania nagród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numPr>
          <w:ilvl w:val="0"/>
          <w:numId w:val="4"/>
        </w:numPr>
        <w:spacing w:after="27" w:line="360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Inter" w:cs="Inter" w:eastAsia="Inter" w:hAnsi="Inter"/>
          <w:rtl w:val="0"/>
        </w:rPr>
        <w:t xml:space="preserve">Organizator powołuje </w:t>
      </w:r>
      <w:r w:rsidDel="00000000" w:rsidR="00000000" w:rsidRPr="00000000">
        <w:rPr>
          <w:rFonts w:ascii="Inter" w:cs="Inter" w:eastAsia="Inter" w:hAnsi="Inter"/>
          <w:b w:val="1"/>
          <w:bCs w:val="1"/>
          <w:rtl w:val="0"/>
        </w:rPr>
        <w:t xml:space="preserve">Jury Turnieju</w:t>
      </w:r>
      <w:r w:rsidDel="00000000" w:rsidR="00000000" w:rsidRPr="00000000">
        <w:rPr>
          <w:rFonts w:ascii="Inter" w:cs="Inter" w:eastAsia="Inter" w:hAnsi="Inter"/>
          <w:rtl w:val="0"/>
        </w:rPr>
        <w:t xml:space="preserve">, które zadecyduje o: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27" w:line="360" w:lineRule="auto"/>
        <w:ind w:left="720" w:firstLine="0"/>
        <w:jc w:val="both"/>
        <w:rPr>
          <w:rFonts w:ascii="Inter" w:cs="Inter" w:eastAsia="Inter" w:hAnsi="Inter"/>
        </w:rPr>
      </w:pPr>
      <w:r w:rsidDel="00000000" w:rsidR="00000000" w:rsidRPr="00000000">
        <w:rPr>
          <w:rFonts w:ascii="Inter" w:cs="Inter" w:eastAsia="Inter" w:hAnsi="Inter"/>
          <w:rtl w:val="0"/>
        </w:rPr>
        <w:t xml:space="preserve">– zakwalifikowaniu prac do Turnieju</w:t>
      </w:r>
    </w:p>
    <w:p w:rsidR="00000000" w:rsidDel="00000000" w:rsidP="00000000" w:rsidRDefault="00000000" w:rsidRPr="00000000" w14:paraId="00000019">
      <w:pPr>
        <w:spacing w:after="27" w:line="360" w:lineRule="auto"/>
        <w:ind w:left="720" w:firstLine="0"/>
        <w:jc w:val="both"/>
        <w:rPr>
          <w:rFonts w:ascii="Inter" w:cs="Inter" w:eastAsia="Inter" w:hAnsi="Inter"/>
        </w:rPr>
      </w:pPr>
      <w:r w:rsidDel="00000000" w:rsidR="00000000" w:rsidRPr="00000000">
        <w:rPr>
          <w:rFonts w:ascii="Inter" w:cs="Inter" w:eastAsia="Inter" w:hAnsi="Inter"/>
          <w:rtl w:val="0"/>
        </w:rPr>
        <w:t xml:space="preserve">– przyznaniu nagród i wyróżnień</w:t>
      </w:r>
    </w:p>
    <w:p w:rsidR="00000000" w:rsidDel="00000000" w:rsidP="00000000" w:rsidRDefault="00000000" w:rsidRPr="00000000" w14:paraId="0000001A">
      <w:pPr>
        <w:spacing w:after="27" w:line="360" w:lineRule="auto"/>
        <w:ind w:left="720" w:firstLine="0"/>
        <w:jc w:val="both"/>
        <w:rPr>
          <w:rFonts w:ascii="Inter" w:cs="Inter" w:eastAsia="Inter" w:hAnsi="Inter"/>
        </w:rPr>
      </w:pPr>
      <w:r w:rsidDel="00000000" w:rsidR="00000000" w:rsidRPr="00000000">
        <w:rPr>
          <w:rFonts w:ascii="Inter" w:cs="Inter" w:eastAsia="Inter" w:hAnsi="Inter"/>
          <w:rtl w:val="0"/>
        </w:rPr>
        <w:t xml:space="preserve">– </w:t>
      </w:r>
      <w:r w:rsidDel="00000000" w:rsidR="00000000" w:rsidRPr="00000000">
        <w:rPr>
          <w:rFonts w:ascii="Inter" w:cs="Inter" w:eastAsia="Inter" w:hAnsi="Inter"/>
          <w:b w:val="1"/>
          <w:bCs w:val="1"/>
          <w:rtl w:val="0"/>
        </w:rPr>
        <w:t xml:space="preserve">umieszczeniu wybranych utworów w pokonkursowym wydawnictwie i na stronie internetowej Instytutu im. Jerzego Grotowskiego</w:t>
      </w:r>
      <w:r w:rsidDel="00000000" w:rsidR="00000000" w:rsidRPr="00000000">
        <w:rPr>
          <w:rFonts w:ascii="Inter" w:cs="Inter" w:eastAsia="Inter" w:hAnsi="Inter"/>
          <w:rtl w:val="0"/>
        </w:rPr>
        <w:t xml:space="preserve">. </w:t>
      </w:r>
    </w:p>
    <w:p w:rsidR="00000000" w:rsidDel="00000000" w:rsidP="00000000" w:rsidRDefault="00000000" w:rsidRPr="00000000" w14:paraId="0000001B">
      <w:pPr>
        <w:numPr>
          <w:ilvl w:val="0"/>
          <w:numId w:val="4"/>
        </w:numPr>
        <w:spacing w:after="27" w:line="360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Inter" w:cs="Inter" w:eastAsia="Inter" w:hAnsi="Inter"/>
          <w:rtl w:val="0"/>
        </w:rPr>
        <w:t xml:space="preserve">Laureaci Turnieju otrzymają </w:t>
      </w:r>
      <w:r w:rsidDel="00000000" w:rsidR="00000000" w:rsidRPr="00000000">
        <w:rPr>
          <w:rFonts w:ascii="Inter" w:cs="Inter" w:eastAsia="Inter" w:hAnsi="Inter"/>
          <w:b w:val="1"/>
          <w:bCs w:val="1"/>
          <w:rtl w:val="0"/>
        </w:rPr>
        <w:t xml:space="preserve">nagrody główne Prezydenta Wrocławia w wysokości</w:t>
      </w:r>
      <w:r w:rsidDel="00000000" w:rsidR="00000000" w:rsidRPr="00000000">
        <w:rPr>
          <w:rFonts w:ascii="Inter" w:cs="Inter" w:eastAsia="Inter" w:hAnsi="Inter"/>
          <w:rtl w:val="0"/>
        </w:rPr>
        <w:t xml:space="preserve">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after="44" w:line="360" w:lineRule="auto"/>
        <w:ind w:left="567" w:firstLine="0"/>
        <w:jc w:val="both"/>
        <w:rPr>
          <w:rFonts w:ascii="Inter" w:cs="Inter" w:eastAsia="Inter" w:hAnsi="Inter"/>
        </w:rPr>
      </w:pPr>
      <w:r w:rsidDel="00000000" w:rsidR="00000000" w:rsidRPr="00000000">
        <w:rPr>
          <w:rFonts w:ascii="Inter" w:cs="Inter" w:eastAsia="Inter" w:hAnsi="Inter"/>
          <w:rtl w:val="0"/>
        </w:rPr>
        <w:t xml:space="preserve">• I Nagroda Prezydenta Wrocławia: 10 000 zł </w:t>
      </w:r>
    </w:p>
    <w:p w:rsidR="00000000" w:rsidDel="00000000" w:rsidP="00000000" w:rsidRDefault="00000000" w:rsidRPr="00000000" w14:paraId="0000001D">
      <w:pPr>
        <w:spacing w:after="44" w:line="360" w:lineRule="auto"/>
        <w:ind w:left="567" w:firstLine="0"/>
        <w:jc w:val="both"/>
        <w:rPr>
          <w:rFonts w:ascii="Inter" w:cs="Inter" w:eastAsia="Inter" w:hAnsi="Inter"/>
        </w:rPr>
      </w:pPr>
      <w:r w:rsidDel="00000000" w:rsidR="00000000" w:rsidRPr="00000000">
        <w:rPr>
          <w:rFonts w:ascii="Inter" w:cs="Inter" w:eastAsia="Inter" w:hAnsi="Inter"/>
          <w:rtl w:val="0"/>
        </w:rPr>
        <w:t xml:space="preserve">• II Nagroda Prezydenta Wrocławia: 5000 zł </w:t>
      </w:r>
    </w:p>
    <w:p w:rsidR="00000000" w:rsidDel="00000000" w:rsidP="00000000" w:rsidRDefault="00000000" w:rsidRPr="00000000" w14:paraId="0000001E">
      <w:pPr>
        <w:spacing w:after="44" w:line="360" w:lineRule="auto"/>
        <w:ind w:left="567" w:firstLine="0"/>
        <w:jc w:val="both"/>
        <w:rPr>
          <w:rFonts w:ascii="Inter" w:cs="Inter" w:eastAsia="Inter" w:hAnsi="Inter"/>
        </w:rPr>
      </w:pPr>
      <w:r w:rsidDel="00000000" w:rsidR="00000000" w:rsidRPr="00000000">
        <w:rPr>
          <w:rFonts w:ascii="Inter" w:cs="Inter" w:eastAsia="Inter" w:hAnsi="Inter"/>
          <w:rtl w:val="0"/>
        </w:rPr>
        <w:t xml:space="preserve">• III Nagroda Prezydenta Wrocławia: 3000 zł </w:t>
      </w:r>
    </w:p>
    <w:p w:rsidR="00000000" w:rsidDel="00000000" w:rsidP="00000000" w:rsidRDefault="00000000" w:rsidRPr="00000000" w14:paraId="0000001F">
      <w:pPr>
        <w:numPr>
          <w:ilvl w:val="0"/>
          <w:numId w:val="4"/>
        </w:numPr>
        <w:spacing w:after="44" w:line="360" w:lineRule="auto"/>
        <w:ind w:left="720" w:hanging="360"/>
        <w:jc w:val="both"/>
        <w:rPr>
          <w:rFonts w:ascii="Inter" w:cs="Inter" w:eastAsia="Inter" w:hAnsi="Inter"/>
        </w:rPr>
      </w:pPr>
      <w:r w:rsidDel="00000000" w:rsidR="00000000" w:rsidRPr="00000000">
        <w:rPr>
          <w:rFonts w:ascii="Inter" w:cs="Inter" w:eastAsia="Inter" w:hAnsi="Inter"/>
          <w:rtl w:val="0"/>
        </w:rPr>
        <w:t xml:space="preserve">Jury zastrzega sobie prawo nieprzyznania nagród.</w:t>
      </w:r>
    </w:p>
    <w:p w:rsidR="00000000" w:rsidDel="00000000" w:rsidP="00000000" w:rsidRDefault="00000000" w:rsidRPr="00000000" w14:paraId="00000020">
      <w:pPr>
        <w:numPr>
          <w:ilvl w:val="0"/>
          <w:numId w:val="4"/>
        </w:numPr>
        <w:spacing w:after="44" w:line="360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Inter" w:cs="Inter" w:eastAsia="Inter" w:hAnsi="Inter"/>
          <w:rtl w:val="0"/>
        </w:rPr>
        <w:t xml:space="preserve">W Turnieju przewidziane są </w:t>
      </w:r>
      <w:r w:rsidDel="00000000" w:rsidR="00000000" w:rsidRPr="00000000">
        <w:rPr>
          <w:rFonts w:ascii="Inter" w:cs="Inter" w:eastAsia="Inter" w:hAnsi="Inter"/>
          <w:b w:val="1"/>
          <w:bCs w:val="1"/>
          <w:rtl w:val="0"/>
        </w:rPr>
        <w:t xml:space="preserve">nagrody specjalne, ufundowane przez Partnerów wydarzenia.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numPr>
          <w:ilvl w:val="0"/>
          <w:numId w:val="4"/>
        </w:numPr>
        <w:spacing w:after="44" w:line="360" w:lineRule="auto"/>
        <w:ind w:left="720" w:hanging="360"/>
        <w:jc w:val="both"/>
        <w:rPr>
          <w:rFonts w:ascii="Inter" w:cs="Inter" w:eastAsia="Inter" w:hAnsi="Inter"/>
        </w:rPr>
      </w:pPr>
      <w:r w:rsidDel="00000000" w:rsidR="00000000" w:rsidRPr="00000000">
        <w:rPr>
          <w:rFonts w:ascii="Inter" w:cs="Inter" w:eastAsia="Inter" w:hAnsi="Inter"/>
          <w:rtl w:val="0"/>
        </w:rPr>
        <w:t xml:space="preserve">Nagrody pieniężne stanowią nagrody w konkursie z dziedziny kultury i sztuki i – z uwagi na ich wartość przekraczającą 2000 zł – podlegają w całości zryczałtowanemu podatkowi dochodowemu w wysokości 10% wartości nagrody (art. 30 ust. 1 pkt 2 w zw. z art. 21 ust. 1 pkt 68 ustawy o podatku dochodowym od osób fizycznych). Organizator, jako płatnik, pobierze i odprowadzi należny podatek; wypłata nagrody nastąpi po dopełnieniu obowiązków płatnika.</w:t>
      </w:r>
    </w:p>
    <w:p w:rsidR="00000000" w:rsidDel="00000000" w:rsidP="00000000" w:rsidRDefault="00000000" w:rsidRPr="00000000" w14:paraId="00000022">
      <w:pPr>
        <w:numPr>
          <w:ilvl w:val="0"/>
          <w:numId w:val="4"/>
        </w:numPr>
        <w:spacing w:after="44" w:line="360" w:lineRule="auto"/>
        <w:ind w:left="720" w:hanging="360"/>
        <w:jc w:val="both"/>
        <w:rPr>
          <w:rFonts w:ascii="Inter" w:cs="Inter" w:eastAsia="Inter" w:hAnsi="Inter"/>
        </w:rPr>
      </w:pPr>
      <w:r w:rsidDel="00000000" w:rsidR="00000000" w:rsidRPr="00000000">
        <w:rPr>
          <w:rFonts w:ascii="Inter" w:cs="Inter" w:eastAsia="Inter" w:hAnsi="Inter"/>
          <w:rtl w:val="0"/>
        </w:rPr>
        <w:t xml:space="preserve">Decyzja Jury jest ostateczna i nie będzie podlegała weryfikacji w toku Turnieju, co nie wyłącza uprawnień Uczestników, wynikających z bezwzględnie obowiązujących przepisów prawa.</w:t>
      </w:r>
    </w:p>
    <w:p w:rsidR="00000000" w:rsidDel="00000000" w:rsidP="00000000" w:rsidRDefault="00000000" w:rsidRPr="00000000" w14:paraId="00000023">
      <w:pPr>
        <w:numPr>
          <w:ilvl w:val="0"/>
          <w:numId w:val="4"/>
        </w:numPr>
        <w:spacing w:after="44" w:line="360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Inter" w:cs="Inter" w:eastAsia="Inter" w:hAnsi="Inter"/>
          <w:b w:val="1"/>
          <w:bCs w:val="1"/>
          <w:rtl w:val="0"/>
        </w:rPr>
        <w:t xml:space="preserve">Wyniki Turnieju zostaną ogłoszone 28 października 2026 r. o godz. 17:00</w:t>
      </w:r>
      <w:r w:rsidDel="00000000" w:rsidR="00000000" w:rsidRPr="00000000">
        <w:rPr>
          <w:rFonts w:ascii="Inter" w:cs="Inter" w:eastAsia="Inter" w:hAnsi="Inter"/>
          <w:rtl w:val="0"/>
        </w:rPr>
        <w:t xml:space="preserve"> </w:t>
      </w:r>
      <w:r w:rsidDel="00000000" w:rsidR="00000000" w:rsidRPr="00000000">
        <w:rPr>
          <w:rFonts w:ascii="Inter" w:cs="Inter" w:eastAsia="Inter" w:hAnsi="Inter"/>
          <w:b w:val="1"/>
          <w:bCs w:val="1"/>
          <w:rtl w:val="0"/>
        </w:rPr>
        <w:t xml:space="preserve">podczas uroczystej Gali w Sali Wielkiej Starego Ratusza we Wrocławiu, a także zamieszczone tego samego dnia na stronie internetowej: grotowski-institute.pl</w:t>
      </w:r>
      <w:r w:rsidDel="00000000" w:rsidR="00000000" w:rsidRPr="00000000">
        <w:rPr>
          <w:rFonts w:ascii="Inter" w:cs="Inter" w:eastAsia="Inter" w:hAnsi="Inter"/>
          <w:b w:val="1"/>
          <w:bCs w:val="1"/>
          <w:u w:val="single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numPr>
          <w:ilvl w:val="0"/>
          <w:numId w:val="4"/>
        </w:numPr>
        <w:spacing w:after="44" w:line="360" w:lineRule="auto"/>
        <w:ind w:left="720" w:right="-136" w:hanging="360"/>
        <w:jc w:val="both"/>
        <w:rPr>
          <w:rFonts w:ascii="Inter" w:cs="Inter" w:eastAsia="Inter" w:hAnsi="Inter"/>
        </w:rPr>
      </w:pPr>
      <w:r w:rsidDel="00000000" w:rsidR="00000000" w:rsidRPr="00000000">
        <w:rPr>
          <w:rFonts w:ascii="Inter" w:cs="Inter" w:eastAsia="Inter" w:hAnsi="Inter"/>
          <w:rtl w:val="0"/>
        </w:rPr>
        <w:t xml:space="preserve">O uroczystym wręczeniu nagród laureaci Turnieju zostaną powiadomieni indywidualnie.</w:t>
      </w:r>
    </w:p>
    <w:p w:rsidR="00000000" w:rsidDel="00000000" w:rsidP="00000000" w:rsidRDefault="00000000" w:rsidRPr="00000000" w14:paraId="00000025">
      <w:pPr>
        <w:numPr>
          <w:ilvl w:val="0"/>
          <w:numId w:val="4"/>
        </w:numPr>
        <w:spacing w:after="44" w:line="360" w:lineRule="auto"/>
        <w:ind w:left="720" w:hanging="360"/>
        <w:jc w:val="both"/>
        <w:rPr>
          <w:rFonts w:ascii="Inter" w:cs="Inter" w:eastAsia="Inter" w:hAnsi="Inter"/>
        </w:rPr>
      </w:pPr>
      <w:r w:rsidDel="00000000" w:rsidR="00000000" w:rsidRPr="00000000">
        <w:rPr>
          <w:rFonts w:ascii="Inter" w:cs="Inter" w:eastAsia="Inter" w:hAnsi="Inter"/>
          <w:rtl w:val="0"/>
        </w:rPr>
        <w:t xml:space="preserve">Organizator nie zwraca kosztów podróży do i z Wrocławia.</w:t>
      </w:r>
    </w:p>
    <w:p w:rsidR="00000000" w:rsidDel="00000000" w:rsidP="00000000" w:rsidRDefault="00000000" w:rsidRPr="00000000" w14:paraId="00000026">
      <w:pPr>
        <w:spacing w:after="0" w:line="360" w:lineRule="auto"/>
        <w:jc w:val="both"/>
        <w:rPr>
          <w:rFonts w:ascii="Inter" w:cs="Inter" w:eastAsia="Inter" w:hAnsi="Inter"/>
          <w:b w:val="1"/>
          <w:bCs w:val="1"/>
        </w:rPr>
      </w:pPr>
      <w:r w:rsidDel="00000000" w:rsidR="00000000" w:rsidRPr="00000000">
        <w:rPr>
          <w:rFonts w:ascii="Inter" w:cs="Inter" w:eastAsia="Inter" w:hAnsi="Inter"/>
          <w:b w:val="1"/>
          <w:bCs w:val="1"/>
          <w:rtl w:val="0"/>
        </w:rPr>
        <w:t xml:space="preserve">§5 Uprawnienia Uczestników i Organizatora</w:t>
      </w:r>
    </w:p>
    <w:p w:rsidR="00000000" w:rsidDel="00000000" w:rsidP="00000000" w:rsidRDefault="00000000" w:rsidRPr="00000000" w14:paraId="00000027">
      <w:pPr>
        <w:numPr>
          <w:ilvl w:val="0"/>
          <w:numId w:val="6"/>
        </w:numPr>
        <w:spacing w:after="0" w:line="360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Inter" w:cs="Inter" w:eastAsia="Inter" w:hAnsi="Inter"/>
          <w:rtl w:val="0"/>
        </w:rPr>
        <w:t xml:space="preserve">Autorzy utworów przewidzianych do publikacji (w tym nagrodzonych i wyróżnionych) udzielają Organizatorowi </w:t>
      </w:r>
      <w:r w:rsidDel="00000000" w:rsidR="00000000" w:rsidRPr="00000000">
        <w:rPr>
          <w:rFonts w:ascii="Inter" w:cs="Inter" w:eastAsia="Inter" w:hAnsi="Inter"/>
          <w:b w:val="1"/>
          <w:bCs w:val="1"/>
          <w:rtl w:val="0"/>
        </w:rPr>
        <w:t xml:space="preserve">licencji niewyłącznej </w:t>
      </w:r>
      <w:r w:rsidDel="00000000" w:rsidR="00000000" w:rsidRPr="00000000">
        <w:rPr>
          <w:rFonts w:ascii="Inter" w:cs="Inter" w:eastAsia="Inter" w:hAnsi="Inter"/>
          <w:rtl w:val="0"/>
        </w:rPr>
        <w:t xml:space="preserve">(zachowują prawo do nieograniczonego dysponowania swoimi utworami) na wielokrotne, nieodpłatne wykorzystanie – w całości lub w części, przesłanych na Turniej utworów: w wydawnictwach własnych, w celach promocyjnych kanałami informacyjnymi Instytutu im. Jerzego Grotowskiego, w mediach (prasa, radio, tv, internet) oraz w celach archiwalnych. Przy czym, każdorazowo imię i nazwisko autora opublikowanego utworu będzie zamieszczone w publikacjach i na nośnikach w sposób zwyczajowo przyjęty; szczegółowy zakres pól eksploatacji określa formularz licencyjny stanowiący załącznik do regulaminu.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numPr>
          <w:ilvl w:val="0"/>
          <w:numId w:val="6"/>
        </w:numPr>
        <w:spacing w:after="0" w:line="360" w:lineRule="auto"/>
        <w:ind w:left="720" w:hanging="360"/>
        <w:jc w:val="both"/>
        <w:rPr>
          <w:rFonts w:ascii="Inter" w:cs="Inter" w:eastAsia="Inter" w:hAnsi="Inter"/>
        </w:rPr>
      </w:pPr>
      <w:r w:rsidDel="00000000" w:rsidR="00000000" w:rsidRPr="00000000">
        <w:rPr>
          <w:rFonts w:ascii="Inter" w:cs="Inter" w:eastAsia="Inter" w:hAnsi="Inter"/>
          <w:rtl w:val="0"/>
        </w:rPr>
        <w:t xml:space="preserve">Uprawnienia, o których mowa w pkt 1, przysługują Organizatorowi nieodpłatnie, na podstawie oświadczeń złożonych przez autorów.</w:t>
      </w:r>
    </w:p>
    <w:p w:rsidR="00000000" w:rsidDel="00000000" w:rsidP="00000000" w:rsidRDefault="00000000" w:rsidRPr="00000000" w14:paraId="00000029">
      <w:pPr>
        <w:numPr>
          <w:ilvl w:val="0"/>
          <w:numId w:val="6"/>
        </w:numPr>
        <w:spacing w:after="0" w:line="360" w:lineRule="auto"/>
        <w:ind w:left="720" w:hanging="360"/>
        <w:jc w:val="both"/>
        <w:rPr>
          <w:rFonts w:ascii="Inter" w:cs="Inter" w:eastAsia="Inter" w:hAnsi="Inter"/>
        </w:rPr>
      </w:pPr>
      <w:r w:rsidDel="00000000" w:rsidR="00000000" w:rsidRPr="00000000">
        <w:rPr>
          <w:rFonts w:ascii="Inter" w:cs="Inter" w:eastAsia="Inter" w:hAnsi="Inter"/>
          <w:rtl w:val="0"/>
        </w:rPr>
        <w:t xml:space="preserve">Uczestnik ponosi pełną odpowiedzialność za zgodność ze stanem faktycznym i prawnym oświadczeń złożonych w formularzu licencyjnym, w szczególności za to, że korzystanie z utworu przez Organizatora w zakresie udzielonej licencji nie naruszy praw osób trzecich. W razie skierowania wobec Organizatora roszczeń przez osoby trzecie (w tym współautorów, następców prawnych lub wydawców) z tytułu naruszenia ich praw przez utwór, Uczestnik zobowiązuje się do przejęcia tych roszczeń, zwolnienia Organizatora z odpowiedzialności oraz naprawienia poniesionej przez niego szkody.</w:t>
      </w:r>
    </w:p>
    <w:p w:rsidR="00000000" w:rsidDel="00000000" w:rsidP="00000000" w:rsidRDefault="00000000" w:rsidRPr="00000000" w14:paraId="0000002A">
      <w:pPr>
        <w:numPr>
          <w:ilvl w:val="0"/>
          <w:numId w:val="6"/>
        </w:numPr>
        <w:spacing w:after="0" w:line="360" w:lineRule="auto"/>
        <w:ind w:left="720" w:hanging="360"/>
        <w:jc w:val="both"/>
        <w:rPr>
          <w:rFonts w:ascii="Inter" w:cs="Inter" w:eastAsia="Inter" w:hAnsi="Inter"/>
        </w:rPr>
      </w:pPr>
      <w:r w:rsidDel="00000000" w:rsidR="00000000" w:rsidRPr="00000000">
        <w:rPr>
          <w:rFonts w:ascii="Inter" w:cs="Inter" w:eastAsia="Inter" w:hAnsi="Inter"/>
          <w:rtl w:val="0"/>
        </w:rPr>
        <w:t xml:space="preserve">Organizator zastrzega, że z chwilą nadesłania zgłoszenia nabywa własność egzemplarza (nośnika), na którym utwór został utrwalony i przesłany na Turniej (wydruku); egzemplarze te nie podlegają zwrotowi i są przechowywane w Archiwum Instytutu (§3 pkt 5–6). Nabycie własności egzemplarza nie narusza autorskich praw majątkowych ani osobistych do utworu i jest niezależne od licencji, o której mowa w pkt 1.</w:t>
      </w:r>
    </w:p>
    <w:p w:rsidR="00000000" w:rsidDel="00000000" w:rsidP="00000000" w:rsidRDefault="00000000" w:rsidRPr="00000000" w14:paraId="0000002B">
      <w:pPr>
        <w:spacing w:after="0" w:line="360" w:lineRule="auto"/>
        <w:jc w:val="both"/>
        <w:rPr>
          <w:rFonts w:ascii="Inter" w:cs="Inter" w:eastAsia="Inter" w:hAnsi="Inter"/>
        </w:rPr>
      </w:pPr>
      <w:r w:rsidDel="00000000" w:rsidR="00000000" w:rsidRPr="00000000">
        <w:rPr>
          <w:rFonts w:ascii="Inter" w:cs="Inter" w:eastAsia="Inter" w:hAnsi="Inter"/>
          <w:b w:val="1"/>
          <w:bCs w:val="1"/>
          <w:rtl w:val="0"/>
        </w:rPr>
        <w:t xml:space="preserve">§6 Przetwarzanie danych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numPr>
          <w:ilvl w:val="0"/>
          <w:numId w:val="3"/>
        </w:numPr>
        <w:spacing w:after="0" w:line="360" w:lineRule="auto"/>
        <w:ind w:left="720" w:hanging="360"/>
        <w:jc w:val="both"/>
        <w:rPr>
          <w:rFonts w:ascii="Inter" w:cs="Inter" w:eastAsia="Inter" w:hAnsi="Inter"/>
        </w:rPr>
      </w:pPr>
      <w:r w:rsidDel="00000000" w:rsidR="00000000" w:rsidRPr="00000000">
        <w:rPr>
          <w:rFonts w:ascii="Inter" w:cs="Inter" w:eastAsia="Inter" w:hAnsi="Inter"/>
          <w:rtl w:val="0"/>
        </w:rPr>
        <w:t xml:space="preserve">Administratorem danych osobowych Uczestników jest Instytut im. Jerzego Grotowskiego z siedzibą we Wrocławiu, Rynek-Ratusz 27, 50-101 Wrocław.</w:t>
      </w:r>
    </w:p>
    <w:p w:rsidR="00000000" w:rsidDel="00000000" w:rsidP="00000000" w:rsidRDefault="00000000" w:rsidRPr="00000000" w14:paraId="0000002D">
      <w:pPr>
        <w:numPr>
          <w:ilvl w:val="0"/>
          <w:numId w:val="3"/>
        </w:numPr>
        <w:spacing w:after="0" w:line="360" w:lineRule="auto"/>
        <w:ind w:left="720" w:hanging="360"/>
        <w:jc w:val="both"/>
        <w:rPr>
          <w:rFonts w:ascii="Inter" w:cs="Inter" w:eastAsia="Inter" w:hAnsi="Inter"/>
        </w:rPr>
      </w:pPr>
      <w:r w:rsidDel="00000000" w:rsidR="00000000" w:rsidRPr="00000000">
        <w:rPr>
          <w:rFonts w:ascii="Inter" w:cs="Inter" w:eastAsia="Inter" w:hAnsi="Inter"/>
          <w:rtl w:val="0"/>
        </w:rPr>
        <w:t xml:space="preserve">We wszystkich sprawach dotyczących przetwarzania danych osobowych można kontaktować się z inspektorem ochrony danych pod adresem: rodo@grotowski-institute.pl.</w:t>
      </w:r>
    </w:p>
    <w:p w:rsidR="00000000" w:rsidDel="00000000" w:rsidP="00000000" w:rsidRDefault="00000000" w:rsidRPr="00000000" w14:paraId="0000002E">
      <w:pPr>
        <w:numPr>
          <w:ilvl w:val="0"/>
          <w:numId w:val="3"/>
        </w:numPr>
        <w:spacing w:after="0" w:line="360" w:lineRule="auto"/>
        <w:ind w:left="720" w:hanging="360"/>
        <w:jc w:val="both"/>
        <w:rPr>
          <w:rFonts w:ascii="Inter" w:cs="Inter" w:eastAsia="Inter" w:hAnsi="Inter"/>
        </w:rPr>
      </w:pPr>
      <w:r w:rsidDel="00000000" w:rsidR="00000000" w:rsidRPr="00000000">
        <w:rPr>
          <w:rFonts w:ascii="Inter" w:cs="Inter" w:eastAsia="Inter" w:hAnsi="Inter"/>
          <w:rtl w:val="0"/>
        </w:rPr>
        <w:t xml:space="preserve">Dane osobowe będą przetwarzane w celu przeprowadzenia i realizacji Turnieju, na podstawie zgody, o której mowa w art. 6 ust. 1 lit. a Rozporządzenia Parlamentu Europejskiego i Rady (UE) 2016/679 z dnia 27 kwietnia 2016 r. w sprawie ochrony danych osobowych (ogólne rozporządzenie o ochronie danych), zwanego dalej „RODO”.</w:t>
      </w:r>
    </w:p>
    <w:p w:rsidR="00000000" w:rsidDel="00000000" w:rsidP="00000000" w:rsidRDefault="00000000" w:rsidRPr="00000000" w14:paraId="0000002F">
      <w:pPr>
        <w:numPr>
          <w:ilvl w:val="0"/>
          <w:numId w:val="3"/>
        </w:numPr>
        <w:spacing w:after="0" w:line="360" w:lineRule="auto"/>
        <w:ind w:left="720" w:hanging="360"/>
        <w:jc w:val="both"/>
        <w:rPr>
          <w:rFonts w:ascii="Inter" w:cs="Inter" w:eastAsia="Inter" w:hAnsi="Inter"/>
        </w:rPr>
      </w:pPr>
      <w:r w:rsidDel="00000000" w:rsidR="00000000" w:rsidRPr="00000000">
        <w:rPr>
          <w:rFonts w:ascii="Inter" w:cs="Inter" w:eastAsia="Inter" w:hAnsi="Inter"/>
          <w:rtl w:val="0"/>
        </w:rPr>
        <w:t xml:space="preserve">Dane osobowe będą przetwarzane również w celu realizacji prawnie uzasadnionego interesu administratora, polegającego na udzielaniu odpowiedzi na zapytania oraz obsłudze ewentualnych roszczeń, na podstawie art. 6 ust. 1 lit. f RODO.</w:t>
      </w:r>
    </w:p>
    <w:p w:rsidR="00000000" w:rsidDel="00000000" w:rsidP="00000000" w:rsidRDefault="00000000" w:rsidRPr="00000000" w14:paraId="00000030">
      <w:pPr>
        <w:numPr>
          <w:ilvl w:val="0"/>
          <w:numId w:val="3"/>
        </w:numPr>
        <w:spacing w:after="0" w:line="360" w:lineRule="auto"/>
        <w:ind w:left="720" w:hanging="360"/>
        <w:jc w:val="both"/>
        <w:rPr>
          <w:rFonts w:ascii="Inter" w:cs="Inter" w:eastAsia="Inter" w:hAnsi="Inter"/>
        </w:rPr>
      </w:pPr>
      <w:r w:rsidDel="00000000" w:rsidR="00000000" w:rsidRPr="00000000">
        <w:rPr>
          <w:rFonts w:ascii="Inter" w:cs="Inter" w:eastAsia="Inter" w:hAnsi="Inter"/>
          <w:rtl w:val="0"/>
        </w:rPr>
        <w:t xml:space="preserve">Uroczysta gala wręczenia nagród, o której mowa w §4 pkt 6, może być fotografowana i rejestrowana audiowizualnie. Wizerunek laureatów utrwalony podczas gali może być rozpowszechniany przez Organizatora w celach informacyjnych, sprawozdawczych i promocyjnych (m.in. na stronie internetowej, w mediach społecznościowych oraz w publikacjach Instytutu) na podstawie odrębnej, dobrowolnej zgody laureata, wyrażonej zgodnie z art. 81 ustawy o prawie autorskim i prawach pokrewnych oraz art. 6 ust. 1 lit. a RODO. Udział w Gali oraz wyrażenie zgody na rozpowszechnianie wizerunku są dobrowolne i nie warunkują otrzymania nagrody.</w:t>
      </w:r>
    </w:p>
    <w:p w:rsidR="00000000" w:rsidDel="00000000" w:rsidP="00000000" w:rsidRDefault="00000000" w:rsidRPr="00000000" w14:paraId="00000031">
      <w:pPr>
        <w:numPr>
          <w:ilvl w:val="0"/>
          <w:numId w:val="3"/>
        </w:numPr>
        <w:spacing w:after="0" w:line="360" w:lineRule="auto"/>
        <w:ind w:left="720" w:hanging="360"/>
        <w:jc w:val="both"/>
        <w:rPr>
          <w:rFonts w:ascii="Inter" w:cs="Inter" w:eastAsia="Inter" w:hAnsi="Inter"/>
        </w:rPr>
      </w:pPr>
      <w:r w:rsidDel="00000000" w:rsidR="00000000" w:rsidRPr="00000000">
        <w:rPr>
          <w:rFonts w:ascii="Inter" w:cs="Inter" w:eastAsia="Inter" w:hAnsi="Inter"/>
          <w:rtl w:val="0"/>
        </w:rPr>
        <w:t xml:space="preserve">Odbiorcami danych osobowych mogą być podmioty przetwarzające dane na zlecenie Administratora (m.in. dostawcy usług informatycznych, hostingowych i pocztowych) oraz – w zakresie danych osób nagrodzonych (imię i nazwisko) – odbiorcy publikacji pokonkursowej i użytkownicy strony internetowej Instytutu.</w:t>
      </w:r>
    </w:p>
    <w:p w:rsidR="00000000" w:rsidDel="00000000" w:rsidP="00000000" w:rsidRDefault="00000000" w:rsidRPr="00000000" w14:paraId="00000032">
      <w:pPr>
        <w:numPr>
          <w:ilvl w:val="0"/>
          <w:numId w:val="3"/>
        </w:numPr>
        <w:spacing w:after="0" w:line="360" w:lineRule="auto"/>
        <w:ind w:left="720" w:hanging="360"/>
        <w:jc w:val="both"/>
        <w:rPr>
          <w:rFonts w:ascii="Inter" w:cs="Inter" w:eastAsia="Inter" w:hAnsi="Inter"/>
        </w:rPr>
      </w:pPr>
      <w:r w:rsidDel="00000000" w:rsidR="00000000" w:rsidRPr="00000000">
        <w:rPr>
          <w:rFonts w:ascii="Inter" w:cs="Inter" w:eastAsia="Inter" w:hAnsi="Inter"/>
          <w:rtl w:val="0"/>
        </w:rPr>
        <w:t xml:space="preserve">Nadesłane utwory oraz – w niezbędnym zakresie – dane osobowe Uczestników są udostępniane członkom Jury Turnieju w celu przeprowadzenia oceny prac i rozstrzygnięcia Turnieju. Prace poddawane są ocenie pod godłem; dane identyfikujące Uczestnika (imię, nazwisko, dane kontaktowe) zostają powiązane z utworem i ujawnione po zakończeniu oceny, a w odniesieniu do osób nagrodzonych – podane do publicznej wiadomości wraz z utworem.</w:t>
      </w:r>
    </w:p>
    <w:p w:rsidR="00000000" w:rsidDel="00000000" w:rsidP="00000000" w:rsidRDefault="00000000" w:rsidRPr="00000000" w14:paraId="00000033">
      <w:pPr>
        <w:numPr>
          <w:ilvl w:val="0"/>
          <w:numId w:val="3"/>
        </w:numPr>
        <w:spacing w:after="0" w:line="360" w:lineRule="auto"/>
        <w:ind w:left="720" w:hanging="360"/>
        <w:jc w:val="both"/>
        <w:rPr>
          <w:rFonts w:ascii="Inter" w:cs="Inter" w:eastAsia="Inter" w:hAnsi="Inter"/>
        </w:rPr>
      </w:pPr>
      <w:r w:rsidDel="00000000" w:rsidR="00000000" w:rsidRPr="00000000">
        <w:rPr>
          <w:rFonts w:ascii="Inter" w:cs="Inter" w:eastAsia="Inter" w:hAnsi="Inter"/>
          <w:rtl w:val="0"/>
        </w:rPr>
        <w:t xml:space="preserve">Dane osobowe będą przetwarzane przez okres niezbędny do przeprowadzenia Turnieju, a następnie przechowywane przez 5 lat, liczone od końca roku kalendarzowego, w którym ogłoszono wyniki Turnieju (okres ten obejmuje m.in. przedawnienie ewentualnych roszczeń oraz wypełnienie obowiązków prawnych i podatkowych Administratora); w przypadku danych przetwarzanych na podstawie zgody – nie dłużej niż do czasu jej cofnięcia. Nadesłane utwory pozostają w Archiwum Instytutu zgodnie z §3 pkt 6.</w:t>
      </w:r>
    </w:p>
    <w:p w:rsidR="00000000" w:rsidDel="00000000" w:rsidP="00000000" w:rsidRDefault="00000000" w:rsidRPr="00000000" w14:paraId="00000034">
      <w:pPr>
        <w:numPr>
          <w:ilvl w:val="0"/>
          <w:numId w:val="3"/>
        </w:numPr>
        <w:spacing w:after="0" w:line="360" w:lineRule="auto"/>
        <w:ind w:left="720" w:hanging="360"/>
        <w:jc w:val="both"/>
        <w:rPr>
          <w:rFonts w:ascii="Inter" w:cs="Inter" w:eastAsia="Inter" w:hAnsi="Inter"/>
        </w:rPr>
      </w:pPr>
      <w:r w:rsidDel="00000000" w:rsidR="00000000" w:rsidRPr="00000000">
        <w:rPr>
          <w:rFonts w:ascii="Inter" w:cs="Inter" w:eastAsia="Inter" w:hAnsi="Inter"/>
          <w:rtl w:val="0"/>
        </w:rPr>
        <w:t xml:space="preserve">Uczestnikowi przysługuje prawo dostępu do swoich danych, ich sprostowania, usunięcia lub ograniczenia przetwarzania, prawo do przenoszenia danych, prawo wniesienia sprzeciwu wobec przetwarzania danych na podstawie art. 6 ust. 1 lit. f RODO, a także prawo do cofnięcia zgody w dowolnym momencie bez wpływu na zgodność z prawem przetwarzania dokonanego przed jej cofnięciem.</w:t>
      </w:r>
    </w:p>
    <w:p w:rsidR="00000000" w:rsidDel="00000000" w:rsidP="00000000" w:rsidRDefault="00000000" w:rsidRPr="00000000" w14:paraId="00000035">
      <w:pPr>
        <w:numPr>
          <w:ilvl w:val="0"/>
          <w:numId w:val="3"/>
        </w:numPr>
        <w:spacing w:after="0" w:line="360" w:lineRule="auto"/>
        <w:ind w:left="720" w:hanging="360"/>
        <w:jc w:val="both"/>
        <w:rPr>
          <w:rFonts w:ascii="Inter" w:cs="Inter" w:eastAsia="Inter" w:hAnsi="Inter"/>
        </w:rPr>
      </w:pPr>
      <w:r w:rsidDel="00000000" w:rsidR="00000000" w:rsidRPr="00000000">
        <w:rPr>
          <w:rFonts w:ascii="Inter" w:cs="Inter" w:eastAsia="Inter" w:hAnsi="Inter"/>
          <w:rtl w:val="0"/>
        </w:rPr>
        <w:t xml:space="preserve">Uczestnikowi przysługuje prawo wniesienia skargi do organu nadzorczego – Prezesa Urzędu Ochrony Danych Osobowych.</w:t>
      </w:r>
    </w:p>
    <w:p w:rsidR="00000000" w:rsidDel="00000000" w:rsidP="00000000" w:rsidRDefault="00000000" w:rsidRPr="00000000" w14:paraId="00000036">
      <w:pPr>
        <w:numPr>
          <w:ilvl w:val="0"/>
          <w:numId w:val="3"/>
        </w:numPr>
        <w:spacing w:after="0" w:line="360" w:lineRule="auto"/>
        <w:ind w:left="720" w:hanging="360"/>
        <w:jc w:val="both"/>
        <w:rPr>
          <w:rFonts w:ascii="Inter" w:cs="Inter" w:eastAsia="Inter" w:hAnsi="Inter"/>
        </w:rPr>
      </w:pPr>
      <w:r w:rsidDel="00000000" w:rsidR="00000000" w:rsidRPr="00000000">
        <w:rPr>
          <w:rFonts w:ascii="Inter" w:cs="Inter" w:eastAsia="Inter" w:hAnsi="Inter"/>
          <w:rtl w:val="0"/>
        </w:rPr>
        <w:t xml:space="preserve">Podanie danych osobowych jest dobrowolne, jednak niezbędne do udziału w Turnieju – niepodanie danych uniemożliwia udział w Turnieju oraz otrzymanie nagrody.</w:t>
      </w:r>
    </w:p>
    <w:p w:rsidR="00000000" w:rsidDel="00000000" w:rsidP="00000000" w:rsidRDefault="00000000" w:rsidRPr="00000000" w14:paraId="00000037">
      <w:pPr>
        <w:numPr>
          <w:ilvl w:val="0"/>
          <w:numId w:val="3"/>
        </w:numPr>
        <w:spacing w:after="0" w:line="360" w:lineRule="auto"/>
        <w:ind w:left="720" w:hanging="360"/>
        <w:jc w:val="both"/>
        <w:rPr>
          <w:rFonts w:ascii="Inter" w:cs="Inter" w:eastAsia="Inter" w:hAnsi="Inter"/>
        </w:rPr>
      </w:pPr>
      <w:r w:rsidDel="00000000" w:rsidR="00000000" w:rsidRPr="00000000">
        <w:rPr>
          <w:rFonts w:ascii="Inter" w:cs="Inter" w:eastAsia="Inter" w:hAnsi="Inter"/>
          <w:rtl w:val="0"/>
        </w:rPr>
        <w:t xml:space="preserve">Warunkiem udziału w Turnieju jest wyrażenie zgody na przetwarzanie danych osobowych w zakresie objętym zgłoszeniem (§3 pkt 2), na podstawie art. 6 ust. 1 lit. a RODO. Zgodę wyraża się przez własnoręcznie podpisane oświadczenie dołączone do zgłoszenia; niewyrażenie zgody uniemożliwia rozpatrzenie zgłoszenia i udział w Turnieju.</w:t>
      </w:r>
    </w:p>
    <w:p w:rsidR="00000000" w:rsidDel="00000000" w:rsidP="00000000" w:rsidRDefault="00000000" w:rsidRPr="00000000" w14:paraId="00000038">
      <w:pPr>
        <w:numPr>
          <w:ilvl w:val="0"/>
          <w:numId w:val="3"/>
        </w:numPr>
        <w:spacing w:after="0" w:line="360" w:lineRule="auto"/>
        <w:ind w:left="720" w:hanging="360"/>
        <w:jc w:val="both"/>
        <w:rPr>
          <w:rFonts w:ascii="Inter" w:cs="Inter" w:eastAsia="Inter" w:hAnsi="Inter"/>
        </w:rPr>
      </w:pPr>
      <w:r w:rsidDel="00000000" w:rsidR="00000000" w:rsidRPr="00000000">
        <w:rPr>
          <w:rFonts w:ascii="Inter" w:cs="Inter" w:eastAsia="Inter" w:hAnsi="Inter"/>
          <w:rtl w:val="0"/>
        </w:rPr>
        <w:t xml:space="preserve">Dane osobowe nie będą wykorzystywane do zautomatyzowanego podejmowania decyzji, w tym profilowania.</w:t>
      </w:r>
    </w:p>
    <w:p w:rsidR="00000000" w:rsidDel="00000000" w:rsidP="00000000" w:rsidRDefault="00000000" w:rsidRPr="00000000" w14:paraId="00000039">
      <w:pPr>
        <w:spacing w:after="0" w:line="360" w:lineRule="auto"/>
        <w:jc w:val="both"/>
        <w:rPr>
          <w:rFonts w:ascii="Inter" w:cs="Inter" w:eastAsia="Inter" w:hAnsi="Inter"/>
        </w:rPr>
      </w:pPr>
      <w:r w:rsidDel="00000000" w:rsidR="00000000" w:rsidRPr="00000000">
        <w:rPr>
          <w:rFonts w:ascii="Inter" w:cs="Inter" w:eastAsia="Inter" w:hAnsi="Inter"/>
          <w:b w:val="1"/>
          <w:bCs w:val="1"/>
          <w:rtl w:val="0"/>
        </w:rPr>
        <w:t xml:space="preserve">§7 Postanowienia końcowe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numPr>
          <w:ilvl w:val="0"/>
          <w:numId w:val="1"/>
        </w:numPr>
        <w:spacing w:after="0" w:line="360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Inter" w:cs="Inter" w:eastAsia="Inter" w:hAnsi="Inter"/>
          <w:rtl w:val="0"/>
        </w:rPr>
        <w:t xml:space="preserve">Nadesłanie przez Uczestnika utworów i informacji, wskazanych w §3 pkt 1 i 2, oznacza akceptację warunków i regulaminu Turnieju.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numPr>
          <w:ilvl w:val="0"/>
          <w:numId w:val="1"/>
        </w:numPr>
        <w:spacing w:after="0" w:line="360" w:lineRule="auto"/>
        <w:ind w:left="720" w:hanging="360"/>
        <w:jc w:val="both"/>
        <w:rPr>
          <w:rFonts w:ascii="Inter" w:cs="Inter" w:eastAsia="Inter" w:hAnsi="Inter"/>
        </w:rPr>
      </w:pPr>
      <w:r w:rsidDel="00000000" w:rsidR="00000000" w:rsidRPr="00000000">
        <w:rPr>
          <w:rFonts w:ascii="Inter" w:cs="Inter" w:eastAsia="Inter" w:hAnsi="Inter"/>
          <w:rtl w:val="0"/>
        </w:rPr>
        <w:t xml:space="preserve">Kwestie sporne wynikające z interpretacji niniejszego regulaminu rozstrzyga ostatecznie Organizator Turnieju w porozumieniu z Jury, co nie wyłącza dochodzenia przez Uczestników roszczeń na drodze sądowej. </w:t>
      </w:r>
    </w:p>
    <w:p w:rsidR="00000000" w:rsidDel="00000000" w:rsidP="00000000" w:rsidRDefault="00000000" w:rsidRPr="00000000" w14:paraId="0000003C">
      <w:pPr>
        <w:numPr>
          <w:ilvl w:val="0"/>
          <w:numId w:val="1"/>
        </w:numPr>
        <w:spacing w:line="360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Inter" w:cs="Inter" w:eastAsia="Inter" w:hAnsi="Inter"/>
          <w:rtl w:val="0"/>
        </w:rPr>
        <w:t xml:space="preserve">Informacji o konkursie udziela: </w:t>
        <w:br w:type="textWrapping"/>
      </w:r>
      <w:hyperlink r:id="rId9">
        <w:r w:rsidDel="00000000" w:rsidR="00000000" w:rsidRPr="00000000">
          <w:rPr>
            <w:rFonts w:ascii="Inter" w:cs="Inter" w:eastAsia="Inter" w:hAnsi="Inter"/>
            <w:b w:val="1"/>
            <w:bCs w:val="1"/>
            <w:u w:val="single"/>
            <w:rtl w:val="0"/>
          </w:rPr>
          <w:t xml:space="preserve">sekretariat@grotowski-institute.pl</w:t>
        </w:r>
      </w:hyperlink>
      <w:r w:rsidDel="00000000" w:rsidR="00000000" w:rsidRPr="00000000">
        <w:rPr>
          <w:rFonts w:ascii="Inter" w:cs="Inter" w:eastAsia="Inter" w:hAnsi="Inter"/>
          <w:b w:val="1"/>
          <w:bCs w:val="1"/>
          <w:rtl w:val="0"/>
        </w:rPr>
        <w:t xml:space="preserve">, tel. 71 34 45 320</w:t>
      </w:r>
      <w:r w:rsidDel="00000000" w:rsidR="00000000" w:rsidRPr="00000000">
        <w:rPr>
          <w:rFonts w:ascii="Inter" w:cs="Inter" w:eastAsia="Inter" w:hAnsi="Inter"/>
          <w:rtl w:val="0"/>
        </w:rPr>
        <w:t xml:space="preserve">.</w:t>
      </w:r>
      <w:r w:rsidDel="00000000" w:rsidR="00000000" w:rsidRPr="00000000">
        <w:rPr>
          <w:rtl w:val="0"/>
        </w:rPr>
      </w:r>
    </w:p>
    <w:sectPr>
      <w:headerReference r:id="rId10" w:type="default"/>
      <w:headerReference r:id="rId11" w:type="first"/>
      <w:headerReference r:id="rId12" w:type="even"/>
      <w:footerReference r:id="rId13" w:type="default"/>
      <w:footerReference r:id="rId14" w:type="first"/>
      <w:footerReference r:id="rId15" w:type="even"/>
      <w:pgSz w:h="16838" w:w="11906" w:orient="portrait"/>
      <w:pgMar w:bottom="1417" w:top="2267" w:left="1133" w:right="1417" w:header="396" w:footer="396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  <w:font w:name="Inter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NewsGothCnEU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0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1">
    <w:pPr>
      <w:spacing w:after="0" w:line="288" w:lineRule="auto"/>
      <w:ind w:left="283" w:right="2544" w:hanging="708"/>
      <w:jc w:val="center"/>
      <w:rPr>
        <w:rFonts w:ascii="NewsGothCnEU" w:cs="NewsGothCnEU" w:eastAsia="NewsGothCnEU" w:hAnsi="NewsGothCnEU"/>
        <w:b w:val="1"/>
        <w:bCs w:val="1"/>
        <w:color w:val="000000"/>
        <w:sz w:val="24"/>
        <w:szCs w:val="24"/>
      </w:rPr>
    </w:pPr>
    <w:r w:rsidDel="00000000" w:rsidR="00000000" w:rsidRPr="00000000">
      <w:rPr>
        <w:rFonts w:ascii="NewsGothCnEU" w:cs="NewsGothCnEU" w:eastAsia="NewsGothCnEU" w:hAnsi="NewsGothCnEU"/>
        <w:b w:val="1"/>
        <w:bCs w:val="1"/>
        <w:sz w:val="24"/>
        <w:szCs w:val="24"/>
      </w:rPr>
      <w:drawing>
        <wp:inline distB="114300" distT="114300" distL="114300" distR="114300">
          <wp:extent cx="6590437" cy="521545"/>
          <wp:effectExtent b="0" l="0" r="0" t="0"/>
          <wp:docPr id="62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590437" cy="52154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2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spacing w:after="0" w:line="240" w:lineRule="auto"/>
      <w:ind w:left="283" w:hanging="283"/>
      <w:rPr>
        <w:color w:val="000000"/>
      </w:rPr>
    </w:pPr>
    <w:r w:rsidDel="00000000" w:rsidR="00000000" w:rsidRPr="00000000">
      <w:rPr/>
      <w:drawing>
        <wp:inline distB="114300" distT="114300" distL="114300" distR="114300">
          <wp:extent cx="5666775" cy="457200"/>
          <wp:effectExtent b="0" l="0" r="0" t="0"/>
          <wp:docPr id="64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666775" cy="4572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D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E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spacing w:after="0" w:line="240" w:lineRule="auto"/>
      <w:ind w:hanging="992"/>
      <w:rPr>
        <w:color w:val="000000"/>
      </w:rPr>
    </w:pPr>
    <w:r w:rsidDel="00000000" w:rsidR="00000000" w:rsidRPr="00000000">
      <w:rPr/>
      <w:drawing>
        <wp:inline distB="114300" distT="114300" distL="114300" distR="114300">
          <wp:extent cx="7739456" cy="937238"/>
          <wp:effectExtent b="0" l="0" r="0" t="0"/>
          <wp:docPr id="61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739456" cy="937238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F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spacing w:after="0" w:line="240" w:lineRule="auto"/>
      <w:ind w:left="-1559" w:firstLine="0"/>
      <w:rPr>
        <w:color w:val="000000"/>
      </w:rPr>
    </w:pPr>
    <w:r w:rsidDel="00000000" w:rsidR="00000000" w:rsidRPr="00000000">
      <w:rPr/>
      <w:drawing>
        <wp:inline distB="114300" distT="114300" distL="114300" distR="114300">
          <wp:extent cx="7576538" cy="923925"/>
          <wp:effectExtent b="0" l="0" r="0" t="0"/>
          <wp:docPr id="63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576538" cy="92392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u w:val="none"/>
      </w:rPr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u w:val="none"/>
      </w:rPr>
    </w:lvl>
  </w:abstractNum>
  <w:abstractNum w:abstractNumId="4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u w:val="none"/>
      </w:rPr>
    </w:lvl>
  </w:abstractNum>
  <w:abstractNum w:abstractNumId="5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u w:val="none"/>
      </w:rPr>
    </w:lvl>
  </w:abstractNum>
  <w:abstractNum w:abstractNumId="6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u w:val="none"/>
      </w:rPr>
    </w:lvl>
  </w:abstractNum>
  <w:abstractNum w:abstractNumId="7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l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120" w:before="480" w:lineRule="auto"/>
    </w:pPr>
    <w:rPr>
      <w:b w:val="1"/>
      <w:bCs w:val="1"/>
      <w:color w:val="000000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80" w:before="360" w:lineRule="auto"/>
    </w:pPr>
    <w:rPr>
      <w:b w:val="1"/>
      <w:bCs w:val="1"/>
      <w:color w:val="000000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80" w:before="280" w:lineRule="auto"/>
    </w:pPr>
    <w:rPr>
      <w:b w:val="1"/>
      <w:bCs w:val="1"/>
      <w:color w:val="000000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40" w:before="240" w:lineRule="auto"/>
    </w:pPr>
    <w:rPr>
      <w:b w:val="1"/>
      <w:bCs w:val="1"/>
      <w:color w:val="000000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40" w:before="220" w:lineRule="auto"/>
    </w:pPr>
    <w:rPr>
      <w:b w:val="1"/>
      <w:bCs w:val="1"/>
      <w:color w:val="000000"/>
    </w:rPr>
  </w:style>
  <w:style w:type="paragraph" w:styleId="Heading6">
    <w:name w:val="heading 6"/>
    <w:basedOn w:val="Normal"/>
    <w:next w:val="Normal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40" w:before="200" w:lineRule="auto"/>
    </w:pPr>
    <w:rPr>
      <w:b w:val="1"/>
      <w:bCs w:val="1"/>
      <w:color w:val="000000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120" w:before="480" w:lineRule="auto"/>
    </w:pPr>
    <w:rPr>
      <w:b w:val="1"/>
      <w:bCs w:val="1"/>
      <w:color w:val="000000"/>
      <w:sz w:val="72"/>
      <w:szCs w:val="72"/>
    </w:rPr>
  </w:style>
  <w:style w:type="character" w:styleId="Domylnaczcionkaakapitu" w:default="1">
    <w:name w:val="Default Paragraph Font"/>
    <w:uiPriority w:val="1"/>
    <w:semiHidden w:val="1"/>
    <w:unhideWhenUsed w:val="1"/>
  </w:style>
  <w:style w:type="table" w:styleId="Standardowy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Bezlisty" w:default="1">
    <w:name w:val="No List"/>
    <w:uiPriority w:val="99"/>
    <w:semiHidden w:val="1"/>
    <w:unhideWhenUsed w:val="1"/>
  </w:style>
  <w:style w:type="table" w:styleId="TableNormal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0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1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2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3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4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5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6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7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8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9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a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b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c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d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" w:customStyle="1">
    <w:basedOn w:val="TableNormald"/>
    <w:tblPr>
      <w:tblStyleRowBandSize w:val="1"/>
      <w:tblStyleColBandSize w:val="1"/>
    </w:tblPr>
  </w:style>
  <w:style w:type="paragraph" w:styleId="Tekstkomentarza">
    <w:name w:val="annotation text"/>
    <w:basedOn w:val="Normalny"/>
    <w:link w:val="TekstkomentarzaZnak"/>
    <w:uiPriority w:val="99"/>
    <w:semiHidden w:val="1"/>
    <w:unhideWhenUsed w:val="1"/>
    <w:pPr>
      <w:spacing w:line="240" w:lineRule="auto"/>
    </w:pPr>
    <w:rPr>
      <w:sz w:val="20"/>
      <w:szCs w:val="20"/>
    </w:rPr>
  </w:style>
  <w:style w:type="character" w:styleId="TekstkomentarzaZnak" w:customStyle="1">
    <w:name w:val="Tekst komentarza Znak"/>
    <w:basedOn w:val="Domylnaczcionkaakapitu"/>
    <w:link w:val="Tekstkomentarza"/>
    <w:uiPriority w:val="99"/>
    <w:semiHidden w:val="1"/>
    <w:rPr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 w:val="1"/>
    <w:unhideWhenUsed w:val="1"/>
    <w:rPr>
      <w:sz w:val="16"/>
      <w:szCs w:val="16"/>
    </w:rPr>
  </w:style>
  <w:style w:type="paragraph" w:styleId="Poprawka">
    <w:name w:val="Revision"/>
    <w:hidden w:val="1"/>
    <w:uiPriority w:val="99"/>
    <w:semiHidden w:val="1"/>
    <w:rsid w:val="00FF37CA"/>
    <w:pPr>
      <w:spacing w:after="0" w:line="240" w:lineRule="auto"/>
    </w:pPr>
  </w:style>
  <w:style w:type="paragraph" w:styleId="Subtitle">
    <w:name w:val="Subtitle"/>
    <w:basedOn w:val="Normal"/>
    <w:next w:val="Normal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eader" Target="header3.xml"/><Relationship Id="rId10" Type="http://schemas.openxmlformats.org/officeDocument/2006/relationships/header" Target="header2.xml"/><Relationship Id="rId13" Type="http://schemas.openxmlformats.org/officeDocument/2006/relationships/footer" Target="footer2.xml"/><Relationship Id="rId12" Type="http://schemas.openxmlformats.org/officeDocument/2006/relationships/header" Target="header1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mailto:sekretariat@grotowski-institute.pl" TargetMode="External"/><Relationship Id="rId15" Type="http://schemas.openxmlformats.org/officeDocument/2006/relationships/footer" Target="footer1.xml"/><Relationship Id="rId14" Type="http://schemas.openxmlformats.org/officeDocument/2006/relationships/footer" Target="footer3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s://grotowski-institute.pl/wp-content/uploads/2026/08/Formularz_zgloszenia_turniej.docx" TargetMode="External"/><Relationship Id="rId8" Type="http://schemas.openxmlformats.org/officeDocument/2006/relationships/hyperlink" Target="https://grotowski-institute.pl/wp-content/uploads/2026/08/Zgoda_udzielenie_licencji_turniej.docx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Inter-regular.ttf"/><Relationship Id="rId2" Type="http://schemas.openxmlformats.org/officeDocument/2006/relationships/font" Target="fonts/Inter-bold.ttf"/><Relationship Id="rId3" Type="http://schemas.openxmlformats.org/officeDocument/2006/relationships/font" Target="fonts/Inter-italic.ttf"/><Relationship Id="rId4" Type="http://schemas.openxmlformats.org/officeDocument/2006/relationships/font" Target="fonts/Inter-boldItalic.ttf"/></Relationships>
</file>

<file path=word/_rels/foot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_rels/footer3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ii4/0SzFJLbxqaC8pmEbYTke3pg==">CgMxLjA4AHIhMWNUYmlMRW9yM3Q2N3JJNGlYZ1dIUGZKOEpHc1RNTVgw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2026-08-19T07:11:00Z</dcterms:created>
</cp:coreProperties>
</file>